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C6" w:rsidRPr="006D7CBE" w:rsidRDefault="00E801C6" w:rsidP="006D7CBE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val="ru-RU" w:eastAsia="ru-RU"/>
        </w:rPr>
      </w:pPr>
      <w:bookmarkStart w:id="0" w:name="_GoBack"/>
      <w:r w:rsidRPr="00E801C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 ять ігрових моментів, які допоможуть зробити урок цікавим</w:t>
      </w:r>
    </w:p>
    <w:bookmarkEnd w:id="0"/>
    <w:p w:rsidR="006D7CBE" w:rsidRPr="006D7CBE" w:rsidRDefault="006D7CBE" w:rsidP="006D7CBE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Ігрові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усього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навчального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матеріалу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найкраще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сприймаються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учнями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Тому вони є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найбільш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ефективним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видом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ізнавальної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діяльності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вдале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їх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сполучення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попередньо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опрацьованою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теорією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–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запорука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високих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знань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вмінь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ваших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достатніх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для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здачі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fldChar w:fldCharType="begin"/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instrText xml:space="preserve"> HYPERLINK "https://naurok.com.ua/post/testuvannya-pisa-v-ukra-ni-chi-varto-yogo-boyatisya" </w:instrTex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fldChar w:fldCharType="separate"/>
      </w:r>
      <w:r w:rsidRPr="0062245F">
        <w:rPr>
          <w:rFonts w:ascii="Arial" w:eastAsia="Times New Roman" w:hAnsi="Arial" w:cs="Arial"/>
          <w:color w:val="2979FF"/>
          <w:sz w:val="26"/>
          <w:szCs w:val="26"/>
          <w:lang w:val="ru-RU" w:eastAsia="ru-RU"/>
        </w:rPr>
        <w:t>тестів</w:t>
      </w:r>
      <w:proofErr w:type="spellEnd"/>
      <w:r w:rsidRPr="0062245F">
        <w:rPr>
          <w:rFonts w:ascii="Arial" w:eastAsia="Times New Roman" w:hAnsi="Arial" w:cs="Arial"/>
          <w:color w:val="2979FF"/>
          <w:sz w:val="26"/>
          <w:szCs w:val="26"/>
          <w:lang w:val="ru-RU" w:eastAsia="ru-RU"/>
        </w:rPr>
        <w:t xml:space="preserve"> PISA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fldChar w:fldCharType="end"/>
      </w:r>
    </w:p>
    <w:p w:rsidR="0062245F" w:rsidRPr="006D7CBE" w:rsidRDefault="0062245F" w:rsidP="006D7CBE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</w:pP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Добірка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універсальних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ігрових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прийомів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для</w:t>
      </w:r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активізації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уваги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учнів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та</w:t>
      </w:r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ідвищення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їх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пізнавального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інтересу</w:t>
      </w:r>
      <w:proofErr w:type="spellEnd"/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на</w:t>
      </w:r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 xml:space="preserve"> 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уроках</w:t>
      </w:r>
      <w:r w:rsidRPr="006D7CBE">
        <w:rPr>
          <w:rFonts w:ascii="Arial" w:eastAsia="Times New Roman" w:hAnsi="Arial" w:cs="Arial"/>
          <w:i/>
          <w:iCs/>
          <w:color w:val="333333"/>
          <w:sz w:val="26"/>
          <w:szCs w:val="26"/>
          <w:lang w:val="en-US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Помічаєте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що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час уроку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втрачають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увагу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?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Таке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бува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,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особливо при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вивченні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нового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матер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іалу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що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ж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робити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коли за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програмою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треба все ж таки «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вичитати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»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основну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теорію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?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Щоб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урок не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перетворився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лекцію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спробуйте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час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заняття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переключати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увагу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Для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цього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якнайкраще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змінювати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форму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роботи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пасивного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вивчення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до активного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навчання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Пропонуємо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добірку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простих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і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цікавих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прийомі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</w:t>
      </w:r>
      <w:proofErr w:type="spellEnd"/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 для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цього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:</w:t>
      </w:r>
    </w:p>
    <w:p w:rsidR="0062245F" w:rsidRPr="0062245F" w:rsidRDefault="0062245F" w:rsidP="0062245F">
      <w:pPr>
        <w:shd w:val="clear" w:color="auto" w:fill="FFFFFF"/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</w:pPr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1. 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Прийом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«Так </w:t>
      </w:r>
      <w:proofErr w:type="spellStart"/>
      <w:proofErr w:type="gram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чи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н</w:t>
      </w:r>
      <w:proofErr w:type="gram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і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»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В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чому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сенс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Вчитель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загадує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певне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число,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літературного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героя,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явище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природи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тощо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а задача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іднайти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відповідь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Головна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умова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–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мають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посл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ідовно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задавати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питання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які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вчитель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може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відповідати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лише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«так», «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»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«не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суттєво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».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Приклад: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 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уроці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природознавства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вчитель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наприклад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загадує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слово «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Місяць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».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 xml:space="preserve">Приклад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>діалогу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>: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Це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небесне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тіло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?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>— Так!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 xml:space="preserve">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Воно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газоподібне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?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 xml:space="preserve">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!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 xml:space="preserve">— Ми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можемо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його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побачити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на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небі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без телескопу?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>— Так!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 xml:space="preserve">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Воно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з хвостом?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 xml:space="preserve">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!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 xml:space="preserve">— Ми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бачимо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його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щоночі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?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—Т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ак!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lastRenderedPageBreak/>
        <w:t xml:space="preserve">—Ми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бачимо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його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детально?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>—Так!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>—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Це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супутник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Землі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?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>—Так!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br/>
        <w:t>—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Це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Місяць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!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Навіщо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Цей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дозволяє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формувати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навички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системного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мислення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відбирати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потрібні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факти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пов'язувати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їх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між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собою 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єдиний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логічний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ланцюжок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Для того,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щоб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зменшити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галасливість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при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роботі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вчитель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попередньо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зазначити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що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питання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краще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задавати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посл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ідовно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не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перебиваючи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поважаючи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один одного.</w:t>
      </w:r>
    </w:p>
    <w:p w:rsidR="0062245F" w:rsidRPr="0062245F" w:rsidRDefault="0062245F" w:rsidP="0062245F">
      <w:pPr>
        <w:shd w:val="clear" w:color="auto" w:fill="FFFFFF"/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</w:pPr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2. 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Прийом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«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Здивуй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-но!»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В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чому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сенс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Вчитель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задає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здавалося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б,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просте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запитання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над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яким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вони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і не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замислювались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А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ісля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припущень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школярів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повідомляє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їм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цікавий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факт 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цю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тему.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Приклад: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 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уроці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біології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час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вивчення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харчових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ланцюжків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можна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активувати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увагу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школярів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наприклад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наступним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чином: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Як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відомо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основним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раціоном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харчування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сов 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миші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миші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харчуються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зерном.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Отож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питання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: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скільки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зерна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може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зберегти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одна сова за все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життя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? До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речі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вага пташки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всього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250 г.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почнуть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припускати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ізні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варіанти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після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цього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можна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їм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повідомити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: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За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життя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сова-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неясип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може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зберегти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аж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50 тон зерна!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Адже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кожна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пташка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живе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середньому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50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років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. За </w:t>
      </w: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ік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вона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з'їдає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понад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1000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мишей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кожна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миша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в свою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чергу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з'їдає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середньому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1 кг зерна за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рік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Навіщо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Такий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дозволить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активізувати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увагу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школярів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уроці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наприклад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час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вивчення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складної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теми.</w:t>
      </w:r>
    </w:p>
    <w:p w:rsidR="0062245F" w:rsidRPr="0062245F" w:rsidRDefault="0062245F" w:rsidP="0062245F">
      <w:pPr>
        <w:shd w:val="clear" w:color="auto" w:fill="FFFFFF"/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</w:pPr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3. 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Прийом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«</w:t>
      </w:r>
      <w:proofErr w:type="gram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Фантастична</w:t>
      </w:r>
      <w:proofErr w:type="gram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домішка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»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В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чому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сенс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передбачає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перенесення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навчальної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ситуації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незвичайні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умови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або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середовище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Приклад: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 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уроці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географії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час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вивчення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планетарних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закономірностей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можна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запропонувати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школярам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таке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завдання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: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lastRenderedPageBreak/>
        <w:t>Уявіть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що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наша Земля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зовсім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не куля, 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має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форму куба! Як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думаєте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чи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ві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др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ізнялись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би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кліматичні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умови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кубічній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планеті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 такому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випадку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?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свою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чергу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мають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змоделювати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ситуацію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аргументуючи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власну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точку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зору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 xml:space="preserve">Формат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>відповіді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>може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 xml:space="preserve"> бути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>наступним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u w:val="single"/>
          <w:lang w:val="ru-RU" w:eastAsia="ru-RU"/>
        </w:rPr>
        <w:t>: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Розташування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кліматичних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поясів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планеті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безпосередньо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залежить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від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кута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падіння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сонячних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промені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</w:t>
      </w:r>
      <w:proofErr w:type="spellEnd"/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які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потрапляють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її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поверхню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. В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умовах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кулястості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Землі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кут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сонячних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променів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екваторі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максимальний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і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зменшується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бік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полюсів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.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Відповідно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від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екватору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до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полюсів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поступово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зменшується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температура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нагріву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поверхні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Землі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Якщо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б Земля мала форму куба, на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ній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би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було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всього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3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кліматичні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пояси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: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бокові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грані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мали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б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умови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екваторіального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поясу (кут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падіння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променів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однаковий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по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всій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площині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кожної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грані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),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нижня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і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верхня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грані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мали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б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умови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сучасних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арктичного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та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антарктичного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кліматичних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поясів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перехідною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зоною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були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б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лише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верхні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та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нижн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ребра кубу. В межах них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був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би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помірний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кліматичний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пояс.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Навіщо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Такий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вид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роботи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дозволяє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самостійно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створювати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алгоритм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вирішення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творчого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завдання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із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залученням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загальновідомих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закономірностей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певних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фактів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Також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роботі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в такому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форматі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школярів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виробляється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навичка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аргументації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власної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позиції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</w:pPr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4. 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Прийом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«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Ігрова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мета»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В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чому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сенс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Вчитель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пропонує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виконати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ряд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однотипних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завдань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форматі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змагання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між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командами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класу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Перемагає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група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яка перша та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безпомилково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виконає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поставлену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задачу.   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Приклад: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 На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уроці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математики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доц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ільно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запропонувати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кожній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 команд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вирішити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в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якості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змагання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складний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математичний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приклад 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кілька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дій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Кількість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обчислень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бути на один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менше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чисельність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</w:t>
      </w:r>
      <w:proofErr w:type="spellEnd"/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команді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Так, перший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учень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проставляє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посл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ідовність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математичних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дій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для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вирішення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прикладу, 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інші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по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черзі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виконують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математичні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Перемагає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та команда, яка перша правильно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вирішить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завдання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Навіщо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 В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такий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спосіб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напрацьовується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навичка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командної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роботи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а форма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змагання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сприяє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виникненню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потужної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мотивації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більшості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школярів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</w:pPr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lastRenderedPageBreak/>
        <w:t xml:space="preserve">5. 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Прийом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«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Знайди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 xml:space="preserve"> </w:t>
      </w:r>
      <w:proofErr w:type="spellStart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помилку</w:t>
      </w:r>
      <w:proofErr w:type="spellEnd"/>
      <w:r w:rsidRPr="0062245F">
        <w:rPr>
          <w:rFonts w:ascii="inherit" w:eastAsia="Times New Roman" w:hAnsi="inherit" w:cs="Arial"/>
          <w:b/>
          <w:bCs/>
          <w:color w:val="333333"/>
          <w:sz w:val="40"/>
          <w:szCs w:val="40"/>
          <w:lang w:val="ru-RU" w:eastAsia="ru-RU"/>
        </w:rPr>
        <w:t>»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В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чому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сенс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Вчитель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викладає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матеріал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 теми уроку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св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ідомо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прихованою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помилкою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Задача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виявити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її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одразу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і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пояснити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в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чому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саме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хибність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твердження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запропонований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Анатолієм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Гіном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книзі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«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педагогічної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техн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іки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».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Форма</w:t>
      </w:r>
      <w:proofErr w:type="gramStart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 xml:space="preserve"> А</w:t>
      </w:r>
      <w:proofErr w:type="gramEnd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 xml:space="preserve"> (</w:t>
      </w:r>
      <w:proofErr w:type="spellStart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найпростіша</w:t>
      </w:r>
      <w:proofErr w:type="spellEnd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)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молодших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класах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привчаючи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школярів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до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цього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доречно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ідказувати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жестами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інтонацією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«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небезпечні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місця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». Для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ідвищення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мотивації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радимо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кожного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який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перший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помітив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помилку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певним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чином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чимось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заохочувати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Можна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нагороджувати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наприклад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медаллю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«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Хома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Невіруючий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», яка буде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передаватися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від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до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або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дарувати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певні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яскраві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наліпки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тощо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Приклад: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Твердження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: 2+2х2=8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Аргументація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: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Твердження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невірне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адже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першу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чергу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виконується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дія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множення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вже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потім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додавання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.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Отже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, 2х2=4, а 2+4=6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Форма</w:t>
      </w:r>
      <w:proofErr w:type="gramStart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 xml:space="preserve"> Б</w:t>
      </w:r>
      <w:proofErr w:type="gramEnd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 xml:space="preserve"> (</w:t>
      </w:r>
      <w:proofErr w:type="spellStart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середня</w:t>
      </w:r>
      <w:proofErr w:type="spellEnd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важкість</w:t>
      </w:r>
      <w:proofErr w:type="spellEnd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)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надається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текст з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хибними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твердженнями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(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наприклад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на уроках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історії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біології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хі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фізики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тощо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),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або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помилками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написанні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(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наприклад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на уроках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мовлення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). Задача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виправити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помилки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та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пояснити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в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чому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саме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і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чому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запропонований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варіант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не є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вірним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Форма</w:t>
      </w:r>
      <w:proofErr w:type="gramStart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 xml:space="preserve"> В</w:t>
      </w:r>
      <w:proofErr w:type="gramEnd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 xml:space="preserve"> (</w:t>
      </w:r>
      <w:proofErr w:type="spellStart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найскладніша</w:t>
      </w:r>
      <w:proofErr w:type="spellEnd"/>
      <w:r w:rsidRPr="0062245F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u w:val="single"/>
          <w:lang w:val="ru-RU" w:eastAsia="ru-RU"/>
        </w:rPr>
        <w:t>)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У старших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класах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можна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запропонувати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ускладнену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форму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роботи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: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вчитель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аргументовано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доводить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гіпотезу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яка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завідомо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є 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неправильною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аргументація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невірною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 xml:space="preserve">Приклад </w:t>
      </w: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>г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>іпотези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>: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 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часом моря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стають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більш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прісними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>Обгрунтування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>: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 Вся </w:t>
      </w: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існа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вода, яка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надходить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 моря 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прісною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: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по-перше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в них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впадають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води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річок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які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прісними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по-друге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атмосферні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опади,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які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також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не є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солоними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Спробуйте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додати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сіль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стакан з водою.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Що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відбудеться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? Так, </w:t>
      </w: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іль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опуститься на дно.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Отже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з часом в морях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сіль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що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міститься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у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воді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lastRenderedPageBreak/>
        <w:t>кристалізується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і </w:t>
      </w: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опускається</w:t>
      </w:r>
      <w:proofErr w:type="spellEnd"/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на дно.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Цим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пояснюється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що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водойми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мають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ізну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солоність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і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всі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вони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поступово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стануть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зовсім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прісними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 xml:space="preserve">Контраргумент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>учнів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u w:val="single"/>
          <w:lang w:val="ru-RU" w:eastAsia="ru-RU"/>
        </w:rPr>
        <w:t>:</w:t>
      </w:r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 Вода, яка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надходить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 моря і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океани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дійсно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є </w:t>
      </w: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існою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але вона все одно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містить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певний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незначний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вміст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солі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. 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випаровується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виключно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прісна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вода,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сіль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же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залишається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. Таким чином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вмі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ст</w:t>
      </w:r>
      <w:proofErr w:type="spellEnd"/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солей у морях та океанах,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навпаки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поступово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збільшується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накопичуючись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ізний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вміст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солі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у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водоймах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залежить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не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від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ступеня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осідання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солі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на дно, 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від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інтенсивності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випаровуванності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. Вона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обумовлена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кліматичними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умовами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регіону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. Так, у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тропічних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широтах </w:t>
      </w:r>
      <w:proofErr w:type="gram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мала</w:t>
      </w:r>
      <w:proofErr w:type="gram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кількість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опадів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і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висока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ступінь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випаровуваності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, тому тут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водойми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найсолоніші</w:t>
      </w:r>
      <w:proofErr w:type="spellEnd"/>
      <w:r w:rsidRPr="0062245F">
        <w:rPr>
          <w:rFonts w:ascii="Arial" w:eastAsia="Times New Roman" w:hAnsi="Arial" w:cs="Arial"/>
          <w:i/>
          <w:iCs/>
          <w:color w:val="333333"/>
          <w:sz w:val="26"/>
          <w:szCs w:val="26"/>
          <w:lang w:val="ru-RU" w:eastAsia="ru-RU"/>
        </w:rPr>
        <w:t>.</w:t>
      </w:r>
    </w:p>
    <w:p w:rsidR="0062245F" w:rsidRPr="0062245F" w:rsidRDefault="0062245F" w:rsidP="0062245F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Навіщо</w:t>
      </w:r>
      <w:proofErr w:type="spellEnd"/>
      <w:r w:rsidRPr="0062245F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/>
        </w:rPr>
        <w:t>: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 В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ході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впровадження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такого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школярів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напрацьовується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навичка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критичного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сприйняття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дійсності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і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уміння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аргументувати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свою думку.</w:t>
      </w:r>
    </w:p>
    <w:p w:rsidR="0062245F" w:rsidRPr="0062245F" w:rsidRDefault="006D7CBE" w:rsidP="0062245F">
      <w:pPr>
        <w:shd w:val="clear" w:color="auto" w:fill="FFFFFF"/>
        <w:spacing w:before="375" w:after="375"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pict>
          <v:rect id="_x0000_i1025" style="width:0;height:0" o:hralign="center" o:hrstd="t" o:hr="t" fillcolor="#a0a0a0" stroked="f"/>
        </w:pict>
      </w:r>
    </w:p>
    <w:p w:rsidR="0062245F" w:rsidRPr="0062245F" w:rsidRDefault="0062245F" w:rsidP="0062245F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</w:pP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Ігрові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прийоми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усього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навчального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матеріалу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найкраще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сприймаються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учнями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Тому вони є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найбільш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ефективним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видом </w:t>
      </w:r>
      <w:proofErr w:type="spellStart"/>
      <w:proofErr w:type="gram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</w:t>
      </w:r>
      <w:proofErr w:type="gram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ізнавальної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діяльності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. 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вдале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їх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сполучення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з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попередньо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опрацьованою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теорією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–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запорука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високих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знань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та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вмінь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ваших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учнів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,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достатніх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 xml:space="preserve"> для 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здачі</w:t>
      </w:r>
      <w:proofErr w:type="spellEnd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t> </w:t>
      </w:r>
      <w:proofErr w:type="spellStart"/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fldChar w:fldCharType="begin"/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instrText xml:space="preserve"> HYPERLINK "https://naurok.com.ua/post/testuvannya-pisa-v-ukra-ni-chi-varto-yogo-boyatisya" </w:instrTex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fldChar w:fldCharType="separate"/>
      </w:r>
      <w:r w:rsidRPr="0062245F">
        <w:rPr>
          <w:rFonts w:ascii="Arial" w:eastAsia="Times New Roman" w:hAnsi="Arial" w:cs="Arial"/>
          <w:color w:val="2979FF"/>
          <w:sz w:val="26"/>
          <w:szCs w:val="26"/>
          <w:lang w:val="ru-RU" w:eastAsia="ru-RU"/>
        </w:rPr>
        <w:t>тестів</w:t>
      </w:r>
      <w:proofErr w:type="spellEnd"/>
      <w:r w:rsidRPr="0062245F">
        <w:rPr>
          <w:rFonts w:ascii="Arial" w:eastAsia="Times New Roman" w:hAnsi="Arial" w:cs="Arial"/>
          <w:color w:val="2979FF"/>
          <w:sz w:val="26"/>
          <w:szCs w:val="26"/>
          <w:lang w:val="ru-RU" w:eastAsia="ru-RU"/>
        </w:rPr>
        <w:t xml:space="preserve"> PISA</w:t>
      </w:r>
      <w:r w:rsidRPr="0062245F">
        <w:rPr>
          <w:rFonts w:ascii="Arial" w:eastAsia="Times New Roman" w:hAnsi="Arial" w:cs="Arial"/>
          <w:color w:val="333333"/>
          <w:sz w:val="26"/>
          <w:szCs w:val="26"/>
          <w:lang w:val="ru-RU" w:eastAsia="ru-RU"/>
        </w:rPr>
        <w:fldChar w:fldCharType="end"/>
      </w:r>
    </w:p>
    <w:p w:rsidR="00C54F66" w:rsidRPr="0062245F" w:rsidRDefault="00C54F66">
      <w:pPr>
        <w:rPr>
          <w:lang w:val="ru-RU"/>
        </w:rPr>
      </w:pPr>
    </w:p>
    <w:sectPr w:rsidR="00C54F66" w:rsidRPr="0062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5F"/>
    <w:rsid w:val="0062245F"/>
    <w:rsid w:val="006D7CBE"/>
    <w:rsid w:val="0095585F"/>
    <w:rsid w:val="00C54F66"/>
    <w:rsid w:val="00E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80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F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8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80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F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8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40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1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5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5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2018-01-12T14:22:00Z</dcterms:created>
  <dcterms:modified xsi:type="dcterms:W3CDTF">2018-01-23T14:28:00Z</dcterms:modified>
</cp:coreProperties>
</file>