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5F" w:rsidRDefault="00D6505F" w:rsidP="00D6505F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</w:pPr>
      <w:r w:rsidRPr="00A71E6D"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  <w:t xml:space="preserve">Як </w:t>
      </w:r>
      <w:proofErr w:type="spellStart"/>
      <w:r w:rsidRPr="00A71E6D"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  <w:t>попередити</w:t>
      </w:r>
      <w:proofErr w:type="spellEnd"/>
      <w:r w:rsidRPr="00A71E6D"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  <w:t>сексуальне</w:t>
      </w:r>
      <w:proofErr w:type="spellEnd"/>
      <w:r w:rsidRPr="00A71E6D"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  <w:t>насильство</w:t>
      </w:r>
      <w:proofErr w:type="spellEnd"/>
      <w:r w:rsidRPr="00A71E6D"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  <w:t>щодо</w:t>
      </w:r>
      <w:proofErr w:type="spellEnd"/>
      <w:r w:rsidRPr="00A71E6D"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  <w:t>дітей</w:t>
      </w:r>
      <w:proofErr w:type="spellEnd"/>
      <w:r w:rsidRPr="00A71E6D"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  <w:t xml:space="preserve"> і </w:t>
      </w:r>
      <w:proofErr w:type="spellStart"/>
      <w:r w:rsidRPr="00A71E6D"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  <w:t>підлітків</w:t>
      </w:r>
      <w:proofErr w:type="spellEnd"/>
    </w:p>
    <w:p w:rsidR="00D6505F" w:rsidRPr="00A71E6D" w:rsidRDefault="00D6505F" w:rsidP="00D6505F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515C73"/>
          <w:sz w:val="28"/>
          <w:szCs w:val="28"/>
          <w:lang w:eastAsia="ru-RU"/>
        </w:rPr>
      </w:pPr>
    </w:p>
    <w:p w:rsidR="00D6505F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-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Змалку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дитина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повинна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усвідомити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що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люди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бувають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різними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і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поводяться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по-різному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: і благородно, і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підло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. 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слід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залякувати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дитину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але й 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можна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підтримувати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ілюзію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ідеального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світу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.</w:t>
      </w:r>
    </w:p>
    <w:p w:rsidR="00D6505F" w:rsidRPr="00A71E6D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</w:p>
    <w:p w:rsidR="00D6505F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-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Дитина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повинна знати,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що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ніхто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вправі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цілувати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її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gram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 губи</w:t>
      </w:r>
      <w:proofErr w:type="gram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примушувати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до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обіймів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і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поцілунків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роздягати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її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торкатися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інтимних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частин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тіла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. Батьки і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близькі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можуть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поцілувати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дитину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тільки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в лоб, носик,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щічку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ручку.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Знаючи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про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це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дитина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легше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розпізнає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сексуальне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домагання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.</w:t>
      </w:r>
    </w:p>
    <w:p w:rsidR="00D6505F" w:rsidRPr="00A71E6D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</w:p>
    <w:p w:rsidR="00D6505F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-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Важливо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розрізняти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бажання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дорослого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або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однолітка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обійняти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дитину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аби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висловити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радість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від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зустрічі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або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емоційно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підтримати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та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домагання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коли в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дотиках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висловлюваннях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проявах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уваги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пропозиціях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провести разом час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дитина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відчуває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явний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сексуальний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підтекст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.</w:t>
      </w:r>
    </w:p>
    <w:p w:rsidR="00D6505F" w:rsidRPr="00A71E6D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</w:p>
    <w:p w:rsidR="00D6505F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-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Любов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і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насильство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є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несумісними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. Примус </w:t>
      </w:r>
      <w:proofErr w:type="gram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до сексу</w:t>
      </w:r>
      <w:proofErr w:type="gram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-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прояв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любові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а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грубості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ревнощів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або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бажання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показати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свою «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крутість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».</w:t>
      </w:r>
    </w:p>
    <w:p w:rsidR="00D6505F" w:rsidRPr="00A71E6D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</w:p>
    <w:p w:rsidR="00D6505F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-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Дитина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повинна знати,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що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батьки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захистять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і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підтримають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її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gram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 будь</w:t>
      </w:r>
      <w:proofErr w:type="gram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-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яких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обставинах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.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Тільки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в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цьому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випадку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дитина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поділиться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з вами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тим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що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її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турбує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. Вона повинна бути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впевненою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що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розсердитеся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на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неї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звинуватите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її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у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брехні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або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в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провокуванні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сексуального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інтересу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інших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людей.</w:t>
      </w:r>
    </w:p>
    <w:p w:rsidR="00D6505F" w:rsidRPr="00A71E6D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</w:p>
    <w:p w:rsidR="00D6505F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-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Почуття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провини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і сорому за те,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що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сталося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або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побоювання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що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їм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повірять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а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ще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гірше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-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звинуватять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у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трагедії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змушує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багатьох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дітей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і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підлітків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замовчувати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випадки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насильства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або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його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спроб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.</w:t>
      </w:r>
    </w:p>
    <w:p w:rsidR="00D6505F" w:rsidRPr="00A71E6D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</w:p>
    <w:p w:rsidR="00D6505F" w:rsidRPr="00A71E6D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-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Слід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навчити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дитину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правилам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поведінки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з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незнайомими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людьми:</w:t>
      </w:r>
    </w:p>
    <w:p w:rsidR="00D6505F" w:rsidRPr="00A71E6D" w:rsidRDefault="00D6505F" w:rsidP="008715DB">
      <w:pPr>
        <w:numPr>
          <w:ilvl w:val="2"/>
          <w:numId w:val="1"/>
        </w:numPr>
        <w:shd w:val="clear" w:color="auto" w:fill="FFFFFF"/>
        <w:tabs>
          <w:tab w:val="clear" w:pos="2520"/>
          <w:tab w:val="num" w:pos="993"/>
        </w:tabs>
        <w:spacing w:after="0" w:line="225" w:lineRule="atLeas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розмовляти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з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незнайомцями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на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вулиці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; на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прохання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показати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потрібну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вулицю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або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провести </w:t>
      </w:r>
      <w:proofErr w:type="gram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до магазину</w:t>
      </w:r>
      <w:proofErr w:type="gram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слід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пояснити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як пройти, але в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жодному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разі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проводжати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навіть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якщо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попросив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одноліток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або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жінка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;</w:t>
      </w:r>
    </w:p>
    <w:p w:rsidR="00D6505F" w:rsidRPr="00A71E6D" w:rsidRDefault="00D6505F" w:rsidP="008715DB">
      <w:pPr>
        <w:numPr>
          <w:ilvl w:val="2"/>
          <w:numId w:val="1"/>
        </w:numPr>
        <w:shd w:val="clear" w:color="auto" w:fill="FFFFFF"/>
        <w:tabs>
          <w:tab w:val="clear" w:pos="2520"/>
          <w:tab w:val="num" w:pos="993"/>
        </w:tabs>
        <w:spacing w:after="0" w:line="225" w:lineRule="atLeas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розмовляти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сторонніми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через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вхідні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двері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і 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впускати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їх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у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будинок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;</w:t>
      </w:r>
    </w:p>
    <w:p w:rsidR="00D6505F" w:rsidRPr="00A71E6D" w:rsidRDefault="00D6505F" w:rsidP="008715DB">
      <w:pPr>
        <w:numPr>
          <w:ilvl w:val="2"/>
          <w:numId w:val="1"/>
        </w:numPr>
        <w:shd w:val="clear" w:color="auto" w:fill="FFFFFF"/>
        <w:tabs>
          <w:tab w:val="clear" w:pos="2520"/>
          <w:tab w:val="num" w:pos="993"/>
        </w:tabs>
        <w:spacing w:after="0" w:line="225" w:lineRule="atLeas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брати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жодних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подарунків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частувань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пропозицій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підвезти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сходити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в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гості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пограти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взяти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участь у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зйомці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кіно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від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незнайомих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людей, в тому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числі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однолітків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;</w:t>
      </w:r>
    </w:p>
    <w:p w:rsidR="00D6505F" w:rsidRPr="00A71E6D" w:rsidRDefault="00D6505F" w:rsidP="008715DB">
      <w:pPr>
        <w:numPr>
          <w:ilvl w:val="2"/>
          <w:numId w:val="1"/>
        </w:numPr>
        <w:shd w:val="clear" w:color="auto" w:fill="FFFFFF"/>
        <w:tabs>
          <w:tab w:val="clear" w:pos="2520"/>
          <w:tab w:val="num" w:pos="993"/>
        </w:tabs>
        <w:spacing w:after="0" w:line="225" w:lineRule="atLeas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вірити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незнайомцям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які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представляються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знайомими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батьків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(друг батька,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однокласниця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мами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і т.д.),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якщо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батьки про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це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попереджали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заздалегідь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;</w:t>
      </w:r>
    </w:p>
    <w:p w:rsidR="00D6505F" w:rsidRPr="00A71E6D" w:rsidRDefault="00D6505F" w:rsidP="008715DB">
      <w:pPr>
        <w:numPr>
          <w:ilvl w:val="2"/>
          <w:numId w:val="1"/>
        </w:numPr>
        <w:shd w:val="clear" w:color="auto" w:fill="FFFFFF"/>
        <w:tabs>
          <w:tab w:val="clear" w:pos="2520"/>
          <w:tab w:val="num" w:pos="993"/>
        </w:tabs>
        <w:spacing w:after="0" w:line="225" w:lineRule="atLeas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сідати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в машину до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незнайомців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заходити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до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під'їзду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або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в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ліфт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з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незнайомими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людьми,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повідомляти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рідним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по домофону про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свій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прихід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;</w:t>
      </w:r>
      <w:bookmarkStart w:id="0" w:name="_GoBack"/>
      <w:bookmarkEnd w:id="0"/>
    </w:p>
    <w:p w:rsidR="00D6505F" w:rsidRPr="00A71E6D" w:rsidRDefault="00D6505F" w:rsidP="008715DB">
      <w:pPr>
        <w:numPr>
          <w:ilvl w:val="2"/>
          <w:numId w:val="1"/>
        </w:numPr>
        <w:shd w:val="clear" w:color="auto" w:fill="FFFFFF"/>
        <w:tabs>
          <w:tab w:val="clear" w:pos="2520"/>
          <w:tab w:val="num" w:pos="993"/>
        </w:tabs>
        <w:spacing w:after="0" w:line="225" w:lineRule="atLeas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lastRenderedPageBreak/>
        <w:t>якщо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незнайомець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намагається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затягти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дитину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в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безлюдне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місце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або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примусити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сісти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в машину,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слід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голосно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кричати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і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кликати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на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допомогу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;</w:t>
      </w:r>
    </w:p>
    <w:p w:rsidR="00D6505F" w:rsidRDefault="00D6505F" w:rsidP="008715DB">
      <w:pPr>
        <w:numPr>
          <w:ilvl w:val="2"/>
          <w:numId w:val="1"/>
        </w:numPr>
        <w:shd w:val="clear" w:color="auto" w:fill="FFFFFF"/>
        <w:tabs>
          <w:tab w:val="clear" w:pos="2520"/>
          <w:tab w:val="num" w:pos="993"/>
        </w:tabs>
        <w:spacing w:after="0" w:line="225" w:lineRule="atLeast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якщо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незнайомець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йде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слідом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потрібно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зайти в магазин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або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інше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громадське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приміщення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і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подзвонити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батькам,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сказати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про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це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охоронцю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або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співробітникам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і не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виходити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з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приміщення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до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приїзду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батьків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;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якщо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поблизу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немає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ніяких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громадських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місць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то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можна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підійди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до будь-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якого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дому і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помахати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рукою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нібито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батькам / родичам,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яких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бачиш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у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вікні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.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Можна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зробити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вигляд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що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дзвониш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додому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, і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голосно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повідомити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про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свій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швидкий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прихід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.</w:t>
      </w:r>
    </w:p>
    <w:p w:rsidR="00D6505F" w:rsidRPr="00A71E6D" w:rsidRDefault="00D6505F" w:rsidP="005748E6">
      <w:pPr>
        <w:shd w:val="clear" w:color="auto" w:fill="FFFFFF"/>
        <w:spacing w:after="0" w:line="22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</w:p>
    <w:p w:rsidR="00D6505F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-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Налаштування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мобільного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телефону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мають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дозволяти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швидкий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набір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номерів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батьків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 xml:space="preserve"> і </w:t>
      </w:r>
      <w:proofErr w:type="spellStart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поліції</w:t>
      </w:r>
      <w:proofErr w:type="spellEnd"/>
      <w:r w:rsidRPr="00A71E6D"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  <w:t>.</w:t>
      </w:r>
    </w:p>
    <w:p w:rsidR="00D6505F" w:rsidRPr="00A71E6D" w:rsidRDefault="00D6505F" w:rsidP="00D650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C73"/>
          <w:sz w:val="28"/>
          <w:szCs w:val="28"/>
          <w:lang w:eastAsia="ru-RU"/>
        </w:rPr>
      </w:pPr>
    </w:p>
    <w:p w:rsidR="00D6505F" w:rsidRDefault="00D6505F" w:rsidP="00D650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15C73"/>
          <w:sz w:val="28"/>
          <w:szCs w:val="28"/>
        </w:rPr>
      </w:pPr>
      <w:r>
        <w:rPr>
          <w:color w:val="515C73"/>
          <w:sz w:val="28"/>
          <w:szCs w:val="28"/>
        </w:rPr>
        <w:t xml:space="preserve">- </w:t>
      </w:r>
      <w:proofErr w:type="spellStart"/>
      <w:r w:rsidRPr="00B75FA0">
        <w:rPr>
          <w:color w:val="515C73"/>
          <w:sz w:val="28"/>
          <w:szCs w:val="28"/>
        </w:rPr>
        <w:t>Зміцнюючи</w:t>
      </w:r>
      <w:proofErr w:type="spellEnd"/>
      <w:r w:rsidRPr="00B75FA0">
        <w:rPr>
          <w:color w:val="515C73"/>
          <w:sz w:val="28"/>
          <w:szCs w:val="28"/>
        </w:rPr>
        <w:t xml:space="preserve"> в </w:t>
      </w:r>
      <w:proofErr w:type="spellStart"/>
      <w:r w:rsidRPr="00B75FA0">
        <w:rPr>
          <w:color w:val="515C73"/>
          <w:sz w:val="28"/>
          <w:szCs w:val="28"/>
        </w:rPr>
        <w:t>дитині</w:t>
      </w:r>
      <w:proofErr w:type="spellEnd"/>
      <w:r w:rsidRPr="00B75FA0">
        <w:rPr>
          <w:color w:val="515C73"/>
          <w:sz w:val="28"/>
          <w:szCs w:val="28"/>
        </w:rPr>
        <w:t xml:space="preserve">, особливо в </w:t>
      </w:r>
      <w:proofErr w:type="spellStart"/>
      <w:r w:rsidRPr="00B75FA0">
        <w:rPr>
          <w:color w:val="515C73"/>
          <w:sz w:val="28"/>
          <w:szCs w:val="28"/>
        </w:rPr>
        <w:t>підлітковому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віці</w:t>
      </w:r>
      <w:proofErr w:type="spellEnd"/>
      <w:r w:rsidRPr="00B75FA0">
        <w:rPr>
          <w:color w:val="515C73"/>
          <w:sz w:val="28"/>
          <w:szCs w:val="28"/>
        </w:rPr>
        <w:t xml:space="preserve">, </w:t>
      </w:r>
      <w:proofErr w:type="spellStart"/>
      <w:r w:rsidRPr="00B75FA0">
        <w:rPr>
          <w:color w:val="515C73"/>
          <w:sz w:val="28"/>
          <w:szCs w:val="28"/>
        </w:rPr>
        <w:t>почуття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впевненості</w:t>
      </w:r>
      <w:proofErr w:type="spellEnd"/>
      <w:r w:rsidRPr="00B75FA0">
        <w:rPr>
          <w:color w:val="515C73"/>
          <w:sz w:val="28"/>
          <w:szCs w:val="28"/>
        </w:rPr>
        <w:t xml:space="preserve"> в </w:t>
      </w:r>
      <w:proofErr w:type="spellStart"/>
      <w:r w:rsidRPr="00B75FA0">
        <w:rPr>
          <w:color w:val="515C73"/>
          <w:sz w:val="28"/>
          <w:szCs w:val="28"/>
        </w:rPr>
        <w:t>собі</w:t>
      </w:r>
      <w:proofErr w:type="spellEnd"/>
      <w:r w:rsidRPr="00B75FA0">
        <w:rPr>
          <w:color w:val="515C73"/>
          <w:sz w:val="28"/>
          <w:szCs w:val="28"/>
        </w:rPr>
        <w:t xml:space="preserve">, </w:t>
      </w:r>
      <w:proofErr w:type="spellStart"/>
      <w:r w:rsidRPr="00B75FA0">
        <w:rPr>
          <w:color w:val="515C73"/>
          <w:sz w:val="28"/>
          <w:szCs w:val="28"/>
        </w:rPr>
        <w:t>підвищуючи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її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самооцінку</w:t>
      </w:r>
      <w:proofErr w:type="spellEnd"/>
      <w:r w:rsidRPr="00B75FA0">
        <w:rPr>
          <w:color w:val="515C73"/>
          <w:sz w:val="28"/>
          <w:szCs w:val="28"/>
        </w:rPr>
        <w:t xml:space="preserve"> і </w:t>
      </w:r>
      <w:proofErr w:type="spellStart"/>
      <w:r w:rsidRPr="00B75FA0">
        <w:rPr>
          <w:color w:val="515C73"/>
          <w:sz w:val="28"/>
          <w:szCs w:val="28"/>
        </w:rPr>
        <w:t>навчаючи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навичкам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ефективного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спілкування</w:t>
      </w:r>
      <w:proofErr w:type="spellEnd"/>
      <w:r w:rsidRPr="00B75FA0">
        <w:rPr>
          <w:color w:val="515C73"/>
          <w:sz w:val="28"/>
          <w:szCs w:val="28"/>
        </w:rPr>
        <w:t xml:space="preserve">, батьки </w:t>
      </w:r>
      <w:proofErr w:type="spellStart"/>
      <w:r w:rsidRPr="00B75FA0">
        <w:rPr>
          <w:color w:val="515C73"/>
          <w:sz w:val="28"/>
          <w:szCs w:val="28"/>
        </w:rPr>
        <w:t>допомагають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їй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протистояти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тиску</w:t>
      </w:r>
      <w:proofErr w:type="spellEnd"/>
      <w:r w:rsidRPr="00B75FA0">
        <w:rPr>
          <w:color w:val="515C73"/>
          <w:sz w:val="28"/>
          <w:szCs w:val="28"/>
        </w:rPr>
        <w:t xml:space="preserve"> в </w:t>
      </w:r>
      <w:proofErr w:type="spellStart"/>
      <w:r w:rsidRPr="00B75FA0">
        <w:rPr>
          <w:color w:val="515C73"/>
          <w:sz w:val="28"/>
          <w:szCs w:val="28"/>
        </w:rPr>
        <w:t>різних</w:t>
      </w:r>
      <w:proofErr w:type="spellEnd"/>
      <w:r w:rsidRPr="00B75FA0">
        <w:rPr>
          <w:color w:val="515C73"/>
          <w:sz w:val="28"/>
          <w:szCs w:val="28"/>
        </w:rPr>
        <w:t xml:space="preserve"> сферах </w:t>
      </w:r>
      <w:proofErr w:type="spellStart"/>
      <w:r w:rsidRPr="00B75FA0">
        <w:rPr>
          <w:color w:val="515C73"/>
          <w:sz w:val="28"/>
          <w:szCs w:val="28"/>
        </w:rPr>
        <w:t>людських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взаємин</w:t>
      </w:r>
      <w:proofErr w:type="spellEnd"/>
      <w:r w:rsidRPr="00B75FA0">
        <w:rPr>
          <w:color w:val="515C73"/>
          <w:sz w:val="28"/>
          <w:szCs w:val="28"/>
        </w:rPr>
        <w:t xml:space="preserve">, у </w:t>
      </w:r>
      <w:proofErr w:type="spellStart"/>
      <w:r w:rsidRPr="00B75FA0">
        <w:rPr>
          <w:color w:val="515C73"/>
          <w:sz w:val="28"/>
          <w:szCs w:val="28"/>
        </w:rPr>
        <w:t>т.ч</w:t>
      </w:r>
      <w:proofErr w:type="spellEnd"/>
      <w:r w:rsidRPr="00B75FA0">
        <w:rPr>
          <w:color w:val="515C73"/>
          <w:sz w:val="28"/>
          <w:szCs w:val="28"/>
        </w:rPr>
        <w:t xml:space="preserve">. і в </w:t>
      </w:r>
      <w:proofErr w:type="spellStart"/>
      <w:r w:rsidRPr="00B75FA0">
        <w:rPr>
          <w:color w:val="515C73"/>
          <w:sz w:val="28"/>
          <w:szCs w:val="28"/>
        </w:rPr>
        <w:t>сексуальних</w:t>
      </w:r>
      <w:proofErr w:type="spellEnd"/>
      <w:r w:rsidRPr="00B75FA0">
        <w:rPr>
          <w:color w:val="515C73"/>
          <w:sz w:val="28"/>
          <w:szCs w:val="28"/>
        </w:rPr>
        <w:t xml:space="preserve">. </w:t>
      </w:r>
      <w:proofErr w:type="spellStart"/>
      <w:r w:rsidRPr="00B75FA0">
        <w:rPr>
          <w:color w:val="515C73"/>
          <w:sz w:val="28"/>
          <w:szCs w:val="28"/>
        </w:rPr>
        <w:t>Уміння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впевнено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поводитись</w:t>
      </w:r>
      <w:proofErr w:type="spellEnd"/>
      <w:r w:rsidRPr="00B75FA0">
        <w:rPr>
          <w:color w:val="515C73"/>
          <w:sz w:val="28"/>
          <w:szCs w:val="28"/>
        </w:rPr>
        <w:t xml:space="preserve"> і </w:t>
      </w:r>
      <w:proofErr w:type="spellStart"/>
      <w:r w:rsidRPr="00B75FA0">
        <w:rPr>
          <w:color w:val="515C73"/>
          <w:sz w:val="28"/>
          <w:szCs w:val="28"/>
        </w:rPr>
        <w:t>давати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тверду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відмову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може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допомогти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запобігти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сексуальним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домаганням</w:t>
      </w:r>
      <w:proofErr w:type="spellEnd"/>
      <w:r w:rsidRPr="00B75FA0">
        <w:rPr>
          <w:color w:val="515C73"/>
          <w:sz w:val="28"/>
          <w:szCs w:val="28"/>
        </w:rPr>
        <w:t xml:space="preserve"> і </w:t>
      </w:r>
      <w:proofErr w:type="spellStart"/>
      <w:r w:rsidRPr="00B75FA0">
        <w:rPr>
          <w:color w:val="515C73"/>
          <w:sz w:val="28"/>
          <w:szCs w:val="28"/>
        </w:rPr>
        <w:t>насильству</w:t>
      </w:r>
      <w:proofErr w:type="spellEnd"/>
      <w:r w:rsidRPr="00B75FA0">
        <w:rPr>
          <w:color w:val="515C73"/>
          <w:sz w:val="28"/>
          <w:szCs w:val="28"/>
        </w:rPr>
        <w:t>.</w:t>
      </w:r>
    </w:p>
    <w:p w:rsidR="00D6505F" w:rsidRPr="00B75FA0" w:rsidRDefault="00D6505F" w:rsidP="00D650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15C73"/>
          <w:sz w:val="28"/>
          <w:szCs w:val="28"/>
        </w:rPr>
      </w:pPr>
    </w:p>
    <w:p w:rsidR="00D6505F" w:rsidRPr="00B75FA0" w:rsidRDefault="00D6505F" w:rsidP="00D6505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15C73"/>
          <w:sz w:val="28"/>
          <w:szCs w:val="28"/>
        </w:rPr>
      </w:pPr>
      <w:proofErr w:type="spellStart"/>
      <w:r w:rsidRPr="00B75FA0">
        <w:rPr>
          <w:rStyle w:val="a4"/>
          <w:color w:val="515C73"/>
          <w:sz w:val="28"/>
          <w:szCs w:val="28"/>
        </w:rPr>
        <w:t>Відповідальність</w:t>
      </w:r>
      <w:proofErr w:type="spellEnd"/>
      <w:r w:rsidRPr="00B75FA0">
        <w:rPr>
          <w:rStyle w:val="a4"/>
          <w:color w:val="515C73"/>
          <w:sz w:val="28"/>
          <w:szCs w:val="28"/>
        </w:rPr>
        <w:t xml:space="preserve"> за законом</w:t>
      </w:r>
    </w:p>
    <w:p w:rsidR="00D6505F" w:rsidRDefault="00D6505F" w:rsidP="00D650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15C73"/>
          <w:sz w:val="28"/>
          <w:szCs w:val="28"/>
        </w:rPr>
      </w:pPr>
      <w:proofErr w:type="spellStart"/>
      <w:r w:rsidRPr="00B75FA0">
        <w:rPr>
          <w:color w:val="515C73"/>
          <w:sz w:val="28"/>
          <w:szCs w:val="28"/>
        </w:rPr>
        <w:t>Добровільні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сексуальні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стосунки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між</w:t>
      </w:r>
      <w:proofErr w:type="spellEnd"/>
      <w:r w:rsidRPr="00B75FA0">
        <w:rPr>
          <w:color w:val="515C73"/>
          <w:sz w:val="28"/>
          <w:szCs w:val="28"/>
        </w:rPr>
        <w:t xml:space="preserve"> особами, </w:t>
      </w:r>
      <w:proofErr w:type="spellStart"/>
      <w:r w:rsidRPr="00B75FA0">
        <w:rPr>
          <w:color w:val="515C73"/>
          <w:sz w:val="28"/>
          <w:szCs w:val="28"/>
        </w:rPr>
        <w:t>що</w:t>
      </w:r>
      <w:proofErr w:type="spellEnd"/>
      <w:r w:rsidRPr="00B75FA0">
        <w:rPr>
          <w:color w:val="515C73"/>
          <w:sz w:val="28"/>
          <w:szCs w:val="28"/>
        </w:rPr>
        <w:t xml:space="preserve"> не </w:t>
      </w:r>
      <w:proofErr w:type="spellStart"/>
      <w:r w:rsidRPr="00B75FA0">
        <w:rPr>
          <w:color w:val="515C73"/>
          <w:sz w:val="28"/>
          <w:szCs w:val="28"/>
        </w:rPr>
        <w:t>досягли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повноліття</w:t>
      </w:r>
      <w:proofErr w:type="spellEnd"/>
      <w:r w:rsidRPr="00B75FA0">
        <w:rPr>
          <w:color w:val="515C73"/>
          <w:sz w:val="28"/>
          <w:szCs w:val="28"/>
        </w:rPr>
        <w:t xml:space="preserve">, не є </w:t>
      </w:r>
      <w:proofErr w:type="spellStart"/>
      <w:r w:rsidRPr="00B75FA0">
        <w:rPr>
          <w:color w:val="515C73"/>
          <w:sz w:val="28"/>
          <w:szCs w:val="28"/>
        </w:rPr>
        <w:t>карним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злочином</w:t>
      </w:r>
      <w:proofErr w:type="spellEnd"/>
      <w:r w:rsidRPr="00B75FA0">
        <w:rPr>
          <w:color w:val="515C73"/>
          <w:sz w:val="28"/>
          <w:szCs w:val="28"/>
        </w:rPr>
        <w:t xml:space="preserve">. Але </w:t>
      </w:r>
      <w:proofErr w:type="spellStart"/>
      <w:r w:rsidRPr="00B75FA0">
        <w:rPr>
          <w:color w:val="515C73"/>
          <w:sz w:val="28"/>
          <w:szCs w:val="28"/>
        </w:rPr>
        <w:t>якщо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підліток</w:t>
      </w:r>
      <w:proofErr w:type="spellEnd"/>
      <w:r w:rsidRPr="00B75FA0">
        <w:rPr>
          <w:color w:val="515C73"/>
          <w:sz w:val="28"/>
          <w:szCs w:val="28"/>
        </w:rPr>
        <w:t xml:space="preserve">, </w:t>
      </w:r>
      <w:proofErr w:type="spellStart"/>
      <w:r w:rsidRPr="00B75FA0">
        <w:rPr>
          <w:color w:val="515C73"/>
          <w:sz w:val="28"/>
          <w:szCs w:val="28"/>
        </w:rPr>
        <w:t>який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досяг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віку</w:t>
      </w:r>
      <w:proofErr w:type="spellEnd"/>
      <w:r w:rsidRPr="00B75FA0">
        <w:rPr>
          <w:color w:val="515C73"/>
          <w:sz w:val="28"/>
          <w:szCs w:val="28"/>
        </w:rPr>
        <w:t xml:space="preserve"> 14 </w:t>
      </w:r>
      <w:proofErr w:type="spellStart"/>
      <w:r w:rsidRPr="00B75FA0">
        <w:rPr>
          <w:color w:val="515C73"/>
          <w:sz w:val="28"/>
          <w:szCs w:val="28"/>
        </w:rPr>
        <w:t>років</w:t>
      </w:r>
      <w:proofErr w:type="spellEnd"/>
      <w:r w:rsidRPr="00B75FA0">
        <w:rPr>
          <w:color w:val="515C73"/>
          <w:sz w:val="28"/>
          <w:szCs w:val="28"/>
        </w:rPr>
        <w:t xml:space="preserve">, </w:t>
      </w:r>
      <w:proofErr w:type="spellStart"/>
      <w:r w:rsidRPr="00B75FA0">
        <w:rPr>
          <w:color w:val="515C73"/>
          <w:sz w:val="28"/>
          <w:szCs w:val="28"/>
        </w:rPr>
        <w:t>здійснив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насильницькі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дії</w:t>
      </w:r>
      <w:proofErr w:type="spellEnd"/>
      <w:r w:rsidRPr="00B75FA0">
        <w:rPr>
          <w:color w:val="515C73"/>
          <w:sz w:val="28"/>
          <w:szCs w:val="28"/>
        </w:rPr>
        <w:t xml:space="preserve"> сексуального характеру, </w:t>
      </w:r>
      <w:proofErr w:type="spellStart"/>
      <w:r w:rsidRPr="00B75FA0">
        <w:rPr>
          <w:color w:val="515C73"/>
          <w:sz w:val="28"/>
          <w:szCs w:val="28"/>
        </w:rPr>
        <w:t>його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можуть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притягнути</w:t>
      </w:r>
      <w:proofErr w:type="spellEnd"/>
      <w:r w:rsidRPr="00B75FA0">
        <w:rPr>
          <w:color w:val="515C73"/>
          <w:sz w:val="28"/>
          <w:szCs w:val="28"/>
        </w:rPr>
        <w:t xml:space="preserve"> до </w:t>
      </w:r>
      <w:proofErr w:type="spellStart"/>
      <w:r w:rsidRPr="00B75FA0">
        <w:rPr>
          <w:color w:val="515C73"/>
          <w:sz w:val="28"/>
          <w:szCs w:val="28"/>
        </w:rPr>
        <w:t>кримінальної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відповідальності</w:t>
      </w:r>
      <w:proofErr w:type="spellEnd"/>
      <w:r w:rsidRPr="00B75FA0">
        <w:rPr>
          <w:color w:val="515C73"/>
          <w:sz w:val="28"/>
          <w:szCs w:val="28"/>
        </w:rPr>
        <w:t xml:space="preserve">. </w:t>
      </w:r>
    </w:p>
    <w:p w:rsidR="00D6505F" w:rsidRDefault="00D6505F" w:rsidP="00D650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15C73"/>
          <w:sz w:val="28"/>
          <w:szCs w:val="28"/>
        </w:rPr>
      </w:pPr>
      <w:proofErr w:type="spellStart"/>
      <w:r w:rsidRPr="00B75FA0">
        <w:rPr>
          <w:color w:val="515C73"/>
          <w:sz w:val="28"/>
          <w:szCs w:val="28"/>
        </w:rPr>
        <w:t>Кримінально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караними</w:t>
      </w:r>
      <w:proofErr w:type="spellEnd"/>
      <w:r w:rsidRPr="00B75FA0">
        <w:rPr>
          <w:color w:val="515C73"/>
          <w:sz w:val="28"/>
          <w:szCs w:val="28"/>
        </w:rPr>
        <w:t xml:space="preserve"> є </w:t>
      </w:r>
      <w:proofErr w:type="spellStart"/>
      <w:r w:rsidRPr="00B75FA0">
        <w:rPr>
          <w:color w:val="515C73"/>
          <w:sz w:val="28"/>
          <w:szCs w:val="28"/>
        </w:rPr>
        <w:t>також</w:t>
      </w:r>
      <w:proofErr w:type="spellEnd"/>
      <w:r w:rsidRPr="00B75FA0">
        <w:rPr>
          <w:color w:val="515C73"/>
          <w:sz w:val="28"/>
          <w:szCs w:val="28"/>
        </w:rPr>
        <w:t xml:space="preserve"> і будь-</w:t>
      </w:r>
      <w:proofErr w:type="spellStart"/>
      <w:r w:rsidRPr="00B75FA0">
        <w:rPr>
          <w:color w:val="515C73"/>
          <w:sz w:val="28"/>
          <w:szCs w:val="28"/>
        </w:rPr>
        <w:t>які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дії</w:t>
      </w:r>
      <w:proofErr w:type="spellEnd"/>
      <w:r w:rsidRPr="00B75FA0">
        <w:rPr>
          <w:color w:val="515C73"/>
          <w:sz w:val="28"/>
          <w:szCs w:val="28"/>
        </w:rPr>
        <w:t xml:space="preserve"> сексуального характеру, </w:t>
      </w:r>
      <w:proofErr w:type="spellStart"/>
      <w:r w:rsidRPr="00B75FA0">
        <w:rPr>
          <w:color w:val="515C73"/>
          <w:sz w:val="28"/>
          <w:szCs w:val="28"/>
        </w:rPr>
        <w:t>якщо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повнолітня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людина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здійснює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їх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стосовно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підлітка</w:t>
      </w:r>
      <w:proofErr w:type="spellEnd"/>
      <w:r w:rsidRPr="00B75FA0">
        <w:rPr>
          <w:color w:val="515C73"/>
          <w:sz w:val="28"/>
          <w:szCs w:val="28"/>
        </w:rPr>
        <w:t xml:space="preserve">, </w:t>
      </w:r>
      <w:proofErr w:type="spellStart"/>
      <w:r w:rsidRPr="00B75FA0">
        <w:rPr>
          <w:color w:val="515C73"/>
          <w:sz w:val="28"/>
          <w:szCs w:val="28"/>
        </w:rPr>
        <w:t>який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ще</w:t>
      </w:r>
      <w:proofErr w:type="spellEnd"/>
      <w:r w:rsidRPr="00B75FA0">
        <w:rPr>
          <w:color w:val="515C73"/>
          <w:sz w:val="28"/>
          <w:szCs w:val="28"/>
        </w:rPr>
        <w:t xml:space="preserve"> не </w:t>
      </w:r>
      <w:proofErr w:type="spellStart"/>
      <w:r w:rsidRPr="00B75FA0">
        <w:rPr>
          <w:color w:val="515C73"/>
          <w:sz w:val="28"/>
          <w:szCs w:val="28"/>
        </w:rPr>
        <w:t>досяг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віку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згоди</w:t>
      </w:r>
      <w:proofErr w:type="spellEnd"/>
      <w:r w:rsidRPr="00B75FA0">
        <w:rPr>
          <w:color w:val="515C73"/>
          <w:sz w:val="28"/>
          <w:szCs w:val="28"/>
        </w:rPr>
        <w:t xml:space="preserve"> (</w:t>
      </w:r>
      <w:proofErr w:type="spellStart"/>
      <w:r w:rsidRPr="00B75FA0">
        <w:rPr>
          <w:color w:val="515C73"/>
          <w:sz w:val="28"/>
          <w:szCs w:val="28"/>
        </w:rPr>
        <w:t>віку</w:t>
      </w:r>
      <w:proofErr w:type="spellEnd"/>
      <w:r w:rsidRPr="00B75FA0">
        <w:rPr>
          <w:color w:val="515C73"/>
          <w:sz w:val="28"/>
          <w:szCs w:val="28"/>
        </w:rPr>
        <w:t xml:space="preserve">, з </w:t>
      </w:r>
      <w:proofErr w:type="spellStart"/>
      <w:r w:rsidRPr="00B75FA0">
        <w:rPr>
          <w:color w:val="515C73"/>
          <w:sz w:val="28"/>
          <w:szCs w:val="28"/>
        </w:rPr>
        <w:t>якого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згода</w:t>
      </w:r>
      <w:proofErr w:type="spellEnd"/>
      <w:r w:rsidRPr="00B75FA0">
        <w:rPr>
          <w:color w:val="515C73"/>
          <w:sz w:val="28"/>
          <w:szCs w:val="28"/>
        </w:rPr>
        <w:t xml:space="preserve"> на </w:t>
      </w:r>
      <w:proofErr w:type="spellStart"/>
      <w:r w:rsidRPr="00B75FA0">
        <w:rPr>
          <w:color w:val="515C73"/>
          <w:sz w:val="28"/>
          <w:szCs w:val="28"/>
        </w:rPr>
        <w:t>сексуальні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відносини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визнається</w:t>
      </w:r>
      <w:proofErr w:type="spellEnd"/>
      <w:r w:rsidRPr="00B75FA0">
        <w:rPr>
          <w:color w:val="515C73"/>
          <w:sz w:val="28"/>
          <w:szCs w:val="28"/>
        </w:rPr>
        <w:t xml:space="preserve"> законом). </w:t>
      </w:r>
    </w:p>
    <w:p w:rsidR="00D6505F" w:rsidRPr="00B75FA0" w:rsidRDefault="00D6505F" w:rsidP="00D650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15C73"/>
          <w:sz w:val="28"/>
          <w:szCs w:val="28"/>
        </w:rPr>
      </w:pPr>
      <w:r w:rsidRPr="00B75FA0">
        <w:rPr>
          <w:color w:val="515C73"/>
          <w:sz w:val="28"/>
          <w:szCs w:val="28"/>
        </w:rPr>
        <w:t xml:space="preserve">У </w:t>
      </w:r>
      <w:proofErr w:type="spellStart"/>
      <w:r w:rsidRPr="00B75FA0">
        <w:rPr>
          <w:color w:val="515C73"/>
          <w:sz w:val="28"/>
          <w:szCs w:val="28"/>
        </w:rPr>
        <w:t>Росії</w:t>
      </w:r>
      <w:proofErr w:type="spellEnd"/>
      <w:r w:rsidRPr="00B75FA0">
        <w:rPr>
          <w:color w:val="515C73"/>
          <w:sz w:val="28"/>
          <w:szCs w:val="28"/>
        </w:rPr>
        <w:t xml:space="preserve">, </w:t>
      </w:r>
      <w:proofErr w:type="spellStart"/>
      <w:r w:rsidRPr="00B75FA0">
        <w:rPr>
          <w:color w:val="515C73"/>
          <w:sz w:val="28"/>
          <w:szCs w:val="28"/>
        </w:rPr>
        <w:t>Україні</w:t>
      </w:r>
      <w:proofErr w:type="spellEnd"/>
      <w:r w:rsidRPr="00B75FA0">
        <w:rPr>
          <w:color w:val="515C73"/>
          <w:sz w:val="28"/>
          <w:szCs w:val="28"/>
        </w:rPr>
        <w:t xml:space="preserve"> та </w:t>
      </w:r>
      <w:proofErr w:type="spellStart"/>
      <w:r w:rsidRPr="00B75FA0">
        <w:rPr>
          <w:color w:val="515C73"/>
          <w:sz w:val="28"/>
          <w:szCs w:val="28"/>
        </w:rPr>
        <w:t>інших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країнах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Східної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Європи</w:t>
      </w:r>
      <w:proofErr w:type="spellEnd"/>
      <w:r w:rsidRPr="00B75FA0">
        <w:rPr>
          <w:color w:val="515C73"/>
          <w:sz w:val="28"/>
          <w:szCs w:val="28"/>
        </w:rPr>
        <w:t xml:space="preserve"> та </w:t>
      </w:r>
      <w:proofErr w:type="spellStart"/>
      <w:r w:rsidRPr="00B75FA0">
        <w:rPr>
          <w:color w:val="515C73"/>
          <w:sz w:val="28"/>
          <w:szCs w:val="28"/>
        </w:rPr>
        <w:t>Центральної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Азії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вік</w:t>
      </w:r>
      <w:proofErr w:type="spellEnd"/>
      <w:r w:rsidRPr="00B75FA0">
        <w:rPr>
          <w:color w:val="515C73"/>
          <w:sz w:val="28"/>
          <w:szCs w:val="28"/>
        </w:rPr>
        <w:t xml:space="preserve"> </w:t>
      </w:r>
      <w:proofErr w:type="spellStart"/>
      <w:r>
        <w:rPr>
          <w:color w:val="515C73"/>
          <w:sz w:val="28"/>
          <w:szCs w:val="28"/>
        </w:rPr>
        <w:t>згоди</w:t>
      </w:r>
      <w:proofErr w:type="spellEnd"/>
      <w:r>
        <w:rPr>
          <w:color w:val="515C73"/>
          <w:sz w:val="28"/>
          <w:szCs w:val="28"/>
        </w:rPr>
        <w:t xml:space="preserve"> </w:t>
      </w:r>
      <w:proofErr w:type="spellStart"/>
      <w:r w:rsidRPr="00B75FA0">
        <w:rPr>
          <w:color w:val="515C73"/>
          <w:sz w:val="28"/>
          <w:szCs w:val="28"/>
        </w:rPr>
        <w:t>визначено</w:t>
      </w:r>
      <w:proofErr w:type="spellEnd"/>
      <w:r w:rsidRPr="00B75FA0">
        <w:rPr>
          <w:color w:val="515C73"/>
          <w:sz w:val="28"/>
          <w:szCs w:val="28"/>
        </w:rPr>
        <w:t xml:space="preserve"> як 16 ​​</w:t>
      </w:r>
      <w:proofErr w:type="spellStart"/>
      <w:r w:rsidRPr="00B75FA0">
        <w:rPr>
          <w:color w:val="515C73"/>
          <w:sz w:val="28"/>
          <w:szCs w:val="28"/>
        </w:rPr>
        <w:t>років</w:t>
      </w:r>
      <w:proofErr w:type="spellEnd"/>
      <w:r w:rsidRPr="00B75FA0">
        <w:rPr>
          <w:color w:val="515C73"/>
          <w:sz w:val="28"/>
          <w:szCs w:val="28"/>
        </w:rPr>
        <w:t>.</w:t>
      </w:r>
    </w:p>
    <w:p w:rsidR="00822C8D" w:rsidRDefault="00822C8D"/>
    <w:sectPr w:rsidR="0082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19A5"/>
    <w:multiLevelType w:val="multilevel"/>
    <w:tmpl w:val="14A2E8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5F"/>
    <w:rsid w:val="005748E6"/>
    <w:rsid w:val="00822C8D"/>
    <w:rsid w:val="008715DB"/>
    <w:rsid w:val="00D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5A2C"/>
  <w15:chartTrackingRefBased/>
  <w15:docId w15:val="{3A012F7B-89A5-4B3F-B2A5-AF03D91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Медкомп</dc:creator>
  <cp:keywords/>
  <dc:description/>
  <cp:lastModifiedBy>Медкомп</cp:lastModifiedBy>
  <cp:revision>3</cp:revision>
  <dcterms:created xsi:type="dcterms:W3CDTF">2017-03-27T09:48:00Z</dcterms:created>
  <dcterms:modified xsi:type="dcterms:W3CDTF">2017-03-27T09:55:00Z</dcterms:modified>
</cp:coreProperties>
</file>